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97C" w:rsidRDefault="0017716D">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PARECER TÉCNICO DA ADMINISTRAÇÃO PÚBLICA</w:t>
      </w:r>
    </w:p>
    <w:p w:rsidR="006E397C" w:rsidRDefault="0017716D">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JUSTIFICATIVA FORMAL</w:t>
      </w:r>
    </w:p>
    <w:p w:rsidR="006E397C" w:rsidRDefault="0017716D">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(Lei nº 13.019/2014 alterada pela Lei nº 13.204/2015)</w:t>
      </w:r>
    </w:p>
    <w:p w:rsidR="006E397C" w:rsidRDefault="006E397C">
      <w:pPr>
        <w:ind w:right="-553"/>
        <w:rPr>
          <w:rFonts w:ascii="Times New Roman" w:eastAsia="Times New Roman" w:hAnsi="Times New Roman" w:cs="Times New Roman"/>
          <w:sz w:val="24"/>
          <w:szCs w:val="24"/>
        </w:rPr>
      </w:pPr>
    </w:p>
    <w:tbl>
      <w:tblPr>
        <w:tblpPr w:leftFromText="180" w:rightFromText="180" w:topFromText="180" w:bottomFromText="180" w:vertAnchor="text"/>
        <w:tblW w:w="9016" w:type="dxa"/>
        <w:tblInd w:w="-5" w:type="dxa"/>
        <w:tblLayout w:type="fixed"/>
        <w:tblLook w:val="0400"/>
      </w:tblPr>
      <w:tblGrid>
        <w:gridCol w:w="2946"/>
        <w:gridCol w:w="6070"/>
      </w:tblGrid>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PROCESSO Nº</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spacing w:line="240" w:lineRule="auto"/>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473/2025-TERMO DE COLABORAÇÃO-SEAGRI</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ASSUNTO:</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spacing w:line="240" w:lineRule="auto"/>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EMENDA PARLAMENTAR IMPOSITIVA</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PARCERIA:</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TERMO DE COLABORAÇÃO</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AUTORIA:</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DEPUTAD</w:t>
            </w:r>
            <w:r>
              <w:rPr>
                <w:rFonts w:ascii="Times New Roman" w:eastAsia="Times New Roman" w:hAnsi="Times New Roman" w:cs="Times New Roman"/>
                <w:sz w:val="24"/>
                <w:szCs w:val="24"/>
              </w:rPr>
              <w:t>O PATO MARAVILHA</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PROPONENTE:</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201"/>
              <w:jc w:val="both"/>
              <w:rPr>
                <w:rFonts w:ascii="Times New Roman" w:eastAsia="Times New Roman" w:hAnsi="Times New Roman" w:cs="Times New Roman"/>
                <w:sz w:val="24"/>
                <w:szCs w:val="24"/>
              </w:rPr>
            </w:pPr>
            <w:r>
              <w:rPr>
                <w:rFonts w:ascii="Times New Roman" w:eastAsia="Times New Roman" w:hAnsi="Times New Roman" w:cs="Arial-BoldMT"/>
                <w:sz w:val="24"/>
                <w:szCs w:val="24"/>
              </w:rPr>
              <w:t>ASSOCIAÇÃO DOS AGRICULTORES FAMILIARES DE CRISTINÁPOLIS E REGIÃO</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03.757.428/0001-71</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POVOADO ÁGUA BRANCA, S/N, ZONA RURAL</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MUNICÍPIO:</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1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CRISTINÁPOLIS/SE</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OBJETO PROPOSTO:</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pStyle w:val="Default"/>
              <w:widowControl w:val="0"/>
              <w:ind w:right="-553"/>
              <w:jc w:val="both"/>
              <w:rPr>
                <w:rFonts w:ascii="Times New Roman" w:eastAsia="Times New Roman" w:hAnsi="Times New Roman" w:cs="Times New Roman"/>
              </w:rPr>
            </w:pPr>
            <w:r>
              <w:rPr>
                <w:rFonts w:ascii="Times New Roman" w:eastAsia="Times New Roman" w:hAnsi="Times New Roman" w:cs="Times New Roman"/>
              </w:rPr>
              <w:t>LOCAÇÃO DE HORAS MÁQUINA TRATOR</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PARECER</w:t>
            </w:r>
            <w:r>
              <w:rPr>
                <w:rFonts w:ascii="Times New Roman" w:eastAsia="Times New Roman" w:hAnsi="Times New Roman" w:cs="Times New Roman"/>
                <w:sz w:val="24"/>
                <w:szCs w:val="24"/>
              </w:rPr>
              <w:t xml:space="preserve"> JURÍDICO REFERENCIAL/PGE:</w:t>
            </w:r>
          </w:p>
        </w:tc>
        <w:tc>
          <w:tcPr>
            <w:tcW w:w="6069" w:type="dxa"/>
            <w:tcBorders>
              <w:top w:val="single" w:sz="4" w:space="0" w:color="000000"/>
              <w:left w:val="single" w:sz="4" w:space="0" w:color="000000"/>
              <w:bottom w:val="single" w:sz="4" w:space="0" w:color="000000"/>
              <w:right w:val="single" w:sz="4" w:space="0" w:color="000000"/>
            </w:tcBorders>
            <w:vAlign w:val="center"/>
          </w:tcPr>
          <w:p w:rsidR="006E397C" w:rsidRDefault="0017716D">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5365/2025-CCAC-PN</w:t>
            </w:r>
          </w:p>
        </w:tc>
      </w:tr>
      <w:tr w:rsidR="006E397C">
        <w:tc>
          <w:tcPr>
            <w:tcW w:w="2946"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VALOR EMENDA:</w:t>
            </w:r>
          </w:p>
        </w:tc>
        <w:tc>
          <w:tcPr>
            <w:tcW w:w="6069" w:type="dxa"/>
            <w:tcBorders>
              <w:top w:val="single" w:sz="4" w:space="0" w:color="000000"/>
              <w:left w:val="single" w:sz="4" w:space="0" w:color="000000"/>
              <w:bottom w:val="single" w:sz="4" w:space="0" w:color="000000"/>
              <w:right w:val="single" w:sz="4" w:space="0" w:color="000000"/>
            </w:tcBorders>
          </w:tcPr>
          <w:p w:rsidR="006E397C" w:rsidRDefault="0017716D">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R$ 120.000,00 (CENTO E VINTE MIL REAIS)</w:t>
            </w:r>
          </w:p>
        </w:tc>
      </w:tr>
    </w:tbl>
    <w:p w:rsidR="006E397C" w:rsidRDefault="006E397C">
      <w:pPr>
        <w:ind w:right="98"/>
        <w:jc w:val="both"/>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Objetivando a avaliação da proposta submetida pela proponente em epígrafe, demandando financiamento com recursos de Emenda Parlamentar Impositiva, </w:t>
      </w:r>
      <w:r>
        <w:rPr>
          <w:rFonts w:ascii="Times New Roman" w:eastAsia="Times New Roman" w:hAnsi="Times New Roman" w:cs="Times New Roman"/>
          <w:sz w:val="24"/>
          <w:szCs w:val="24"/>
        </w:rPr>
        <w:t>observando as prescrições legais consignadas na Lei nº 13.019/2014, cuja celebração e posterior formalização pretendida do Termo de Colaboração será instruída com prévio parecer de órgão técnico da administração pública e justificativa formal do Gestor, me</w:t>
      </w:r>
      <w:r>
        <w:rPr>
          <w:rFonts w:ascii="Times New Roman" w:eastAsia="Times New Roman" w:hAnsi="Times New Roman" w:cs="Times New Roman"/>
          <w:sz w:val="24"/>
          <w:szCs w:val="24"/>
        </w:rPr>
        <w:t>diante ratificação/homologação/autorização nos termos adiante consignados.</w:t>
      </w:r>
    </w:p>
    <w:p w:rsidR="006E397C" w:rsidRDefault="006E397C">
      <w:pPr>
        <w:ind w:right="98"/>
        <w:jc w:val="both"/>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Inicialmente, conforme consignado e assegurado na Lei Orçamentária Anual, pertinente ao atual exercício financeiro, declaramos que existe orçamento e recursos financeiros </w:t>
      </w:r>
      <w:r>
        <w:rPr>
          <w:rFonts w:ascii="Times New Roman" w:eastAsia="Times New Roman" w:hAnsi="Times New Roman" w:cs="Times New Roman"/>
          <w:sz w:val="24"/>
          <w:szCs w:val="24"/>
        </w:rPr>
        <w:t>suficientes para suportar o financiamento, conforme faz certo demonstrativo de execução orçamentária apensado, extraído do i-Gesp.</w:t>
      </w:r>
    </w:p>
    <w:p w:rsidR="006E397C" w:rsidRDefault="006E397C">
      <w:pPr>
        <w:ind w:right="98"/>
        <w:jc w:val="both"/>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Superada a questão orçamentária, ante a previsão consignada em orçamento específico, já comprovada nos autos, não nos parece</w:t>
      </w:r>
      <w:r>
        <w:rPr>
          <w:rFonts w:ascii="Times New Roman" w:eastAsia="Times New Roman" w:hAnsi="Times New Roman" w:cs="Times New Roman"/>
          <w:sz w:val="24"/>
          <w:szCs w:val="24"/>
        </w:rPr>
        <w:t xml:space="preserve"> que a Lei 13.019/2014 faculta ao gestor dispensar (ou não) o chamamento público, notadamente, por se tratar de recursos originários de Emenda Parlamentar Impositiva, conforme preconiza primeira parte da redação do artigo 29 da legislação em comento, onde </w:t>
      </w:r>
      <w:r>
        <w:rPr>
          <w:rFonts w:ascii="Times New Roman" w:eastAsia="Times New Roman" w:hAnsi="Times New Roman" w:cs="Times New Roman"/>
          <w:sz w:val="24"/>
          <w:szCs w:val="24"/>
        </w:rPr>
        <w:t>impõe que os termos de colaboração (ou de fomento) que envolvam recursos decorrentes de emendas parlamentares às leis orçamentárias anuais e os acordos de cooperação serão celebrados sem chamamento público. Somente pela leitura do dispositivo legal não há,</w:t>
      </w:r>
      <w:r>
        <w:rPr>
          <w:rFonts w:ascii="Times New Roman" w:eastAsia="Times New Roman" w:hAnsi="Times New Roman" w:cs="Times New Roman"/>
          <w:sz w:val="24"/>
          <w:szCs w:val="24"/>
        </w:rPr>
        <w:t xml:space="preserve"> salvo melhor juízo, deliberação de escolha do gestor quanto à dispensa do chamamento público (ou não), ou seja, sendo a parceria pactuada mediante termo de colaboração (ou de fomento) com verba oriunda de emenda parlamentar impositiva será celebrada sem c</w:t>
      </w:r>
      <w:r>
        <w:rPr>
          <w:rFonts w:ascii="Times New Roman" w:eastAsia="Times New Roman" w:hAnsi="Times New Roman" w:cs="Times New Roman"/>
          <w:sz w:val="24"/>
          <w:szCs w:val="24"/>
        </w:rPr>
        <w:t>hamamento público, que é o caso em apreciação, conforme se depreende de todos os pareceres jurídicos arrazoados pela Procuradoria Geral do Estado, quando assegura em pareceres pretéritos que a forma de celebração da parceria se dará por Termo de Colaboraçã</w:t>
      </w:r>
      <w:r>
        <w:rPr>
          <w:rFonts w:ascii="Times New Roman" w:eastAsia="Times New Roman" w:hAnsi="Times New Roman" w:cs="Times New Roman"/>
          <w:sz w:val="24"/>
          <w:szCs w:val="24"/>
        </w:rPr>
        <w:t xml:space="preserve">o, sem incidência ou necessidade de justificativas a ser arrazoada pelo </w:t>
      </w:r>
      <w:r>
        <w:rPr>
          <w:rFonts w:ascii="Times New Roman" w:eastAsia="Times New Roman" w:hAnsi="Times New Roman" w:cs="Times New Roman"/>
          <w:sz w:val="24"/>
          <w:szCs w:val="24"/>
        </w:rPr>
        <w:lastRenderedPageBreak/>
        <w:t xml:space="preserve">administrador público. Contudo, há que se reconhecer, que na parte final do mesmo artigo em comento há exceção, todavia, não se aplica à matéria apreciada, pois se trata de acordos de </w:t>
      </w:r>
      <w:r>
        <w:rPr>
          <w:rFonts w:ascii="Times New Roman" w:eastAsia="Times New Roman" w:hAnsi="Times New Roman" w:cs="Times New Roman"/>
          <w:sz w:val="24"/>
          <w:szCs w:val="24"/>
        </w:rPr>
        <w:t>cooperação, quando o objeto envolver a celebração de comodato, doação de bens ou outra forma de compartilhamento de recurso patrimonial.</w:t>
      </w:r>
    </w:p>
    <w:p w:rsidR="006E397C" w:rsidRDefault="006E397C">
      <w:pPr>
        <w:ind w:right="98"/>
        <w:jc w:val="both"/>
        <w:rPr>
          <w:rFonts w:ascii="Times New Roman" w:eastAsia="Times New Roman" w:hAnsi="Times New Roman" w:cs="Times New Roman"/>
          <w:sz w:val="24"/>
          <w:szCs w:val="24"/>
        </w:rPr>
      </w:pPr>
    </w:p>
    <w:p w:rsidR="006E397C" w:rsidRDefault="0017716D">
      <w:pPr>
        <w:spacing w:beforeAutospacing="1" w:afterAutospacing="1"/>
        <w:ind w:left="2977"/>
        <w:contextualSpacing/>
        <w:jc w:val="both"/>
        <w:rPr>
          <w:bCs/>
        </w:rPr>
      </w:pPr>
      <w:r>
        <w:rPr>
          <w:color w:val="000000"/>
        </w:rPr>
        <w:t>Art. 29. Os termos de colaboração ou de fomento que envolvam recursos decorrentes de emendas parlamentares às leis orç</w:t>
      </w:r>
      <w:r>
        <w:rPr>
          <w:color w:val="000000"/>
        </w:rPr>
        <w:t xml:space="preserve">amentárias anuais e os acordos de cooperação </w:t>
      </w:r>
      <w:r>
        <w:rPr>
          <w:b/>
          <w:color w:val="000000"/>
          <w:u w:val="single"/>
        </w:rPr>
        <w:t>serão celebrados sem chamamento público</w:t>
      </w:r>
      <w:r>
        <w:rPr>
          <w:color w:val="000000"/>
        </w:rPr>
        <w:t>, exceto, em relação aos acordos de cooperação, quando o objeto envolver a celebração de comodato, doação de bens ou outra forma de compartilhamento de recurso patrimonial,</w:t>
      </w:r>
      <w:r>
        <w:rPr>
          <w:color w:val="000000"/>
        </w:rPr>
        <w:t xml:space="preserve"> hipótese em que o respectivo chamamento público observará o disposto nesta Lei. </w:t>
      </w:r>
      <w:hyperlink r:id="rId5" w:anchor="art2" w:history="1">
        <w:r>
          <w:rPr>
            <w:color w:val="0000FF"/>
            <w:u w:val="single"/>
          </w:rPr>
          <w:t xml:space="preserve">(Redação dada pela Lei nº 13.204, de 2015) </w:t>
        </w:r>
      </w:hyperlink>
      <w:r>
        <w:t>(</w:t>
      </w:r>
      <w:r>
        <w:rPr>
          <w:b/>
        </w:rPr>
        <w:t>GN</w:t>
      </w:r>
      <w:r>
        <w:t>).</w:t>
      </w:r>
    </w:p>
    <w:p w:rsidR="006E397C" w:rsidRDefault="006E397C">
      <w:pPr>
        <w:ind w:right="98"/>
        <w:jc w:val="both"/>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Associação/Entidade proponen</w:t>
      </w:r>
      <w:r>
        <w:rPr>
          <w:rFonts w:ascii="Times New Roman" w:eastAsia="Times New Roman" w:hAnsi="Times New Roman" w:cs="Times New Roman"/>
          <w:sz w:val="24"/>
          <w:szCs w:val="24"/>
        </w:rPr>
        <w:t>te, conforme Lei de Reconhecimento de Utilidade Pública acostada aos autos do processo, expedido pela Assembleia Legislativa do Estado de Sergipe, enquadra-se na condição de Organização da Sociedade Civil, conforme art. 2º, I, da Lei nº 13.019/2014, possui</w:t>
      </w:r>
      <w:r>
        <w:rPr>
          <w:rFonts w:ascii="Times New Roman" w:eastAsia="Times New Roman" w:hAnsi="Times New Roman" w:cs="Times New Roman"/>
          <w:sz w:val="24"/>
          <w:szCs w:val="24"/>
        </w:rPr>
        <w:t>ndo dentre seus objetivos e finalidades institucionais, nexo causal para atuar na execução do plano de trabalho, na forma demonstrada em Estatuto Social da Entidade proponente carreada aos autos, comprovada pelos documentos de experiência em atividades cor</w:t>
      </w:r>
      <w:r>
        <w:rPr>
          <w:rFonts w:ascii="Times New Roman" w:eastAsia="Times New Roman" w:hAnsi="Times New Roman" w:cs="Times New Roman"/>
          <w:sz w:val="24"/>
          <w:szCs w:val="24"/>
        </w:rPr>
        <w:t>relatas acostados ao processo. Pelo que, certificamos, conforme documentos consignados nos autos do processo, que a Entidade demandante tem sede (instalação), alinhada a capacidade técnica para execução do objeto da parceria, ante aos documentos.</w:t>
      </w:r>
    </w:p>
    <w:p w:rsidR="006E397C" w:rsidRDefault="006E397C">
      <w:pPr>
        <w:ind w:right="98"/>
        <w:jc w:val="both"/>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mérit</w:t>
      </w:r>
      <w:r>
        <w:rPr>
          <w:rFonts w:ascii="Times New Roman" w:eastAsia="Times New Roman" w:hAnsi="Times New Roman" w:cs="Times New Roman"/>
          <w:sz w:val="24"/>
          <w:szCs w:val="24"/>
        </w:rPr>
        <w:t xml:space="preserve">o, a proposta analisada está em conformidade com a modalidade de parceria adotada, conforme prescrito em parecer jurídico referencial da Procuradoria Geral do Estado de Sergipe. Relevante observar que a política pública, objeto da parceria pretendida, tem </w:t>
      </w:r>
      <w:r>
        <w:rPr>
          <w:rFonts w:ascii="Times New Roman" w:eastAsia="Times New Roman" w:hAnsi="Times New Roman" w:cs="Times New Roman"/>
          <w:sz w:val="24"/>
          <w:szCs w:val="24"/>
        </w:rPr>
        <w:t xml:space="preserve">parâmetros consolidados, portanto entende-se que a modalidade de parceria adotada deverá ser o Termo de Colaboração, instrumento por meio do qual serão formalizadas as parcerias estabelecidas pela administração pública com organizações da sociedade civil, </w:t>
      </w:r>
      <w:r>
        <w:rPr>
          <w:rFonts w:ascii="Times New Roman" w:eastAsia="Times New Roman" w:hAnsi="Times New Roman" w:cs="Times New Roman"/>
          <w:sz w:val="24"/>
          <w:szCs w:val="24"/>
        </w:rPr>
        <w:t>com vistas à consecução de finalidades de interesse público e reciprocamente proposta, envolvendo transferência de recursos financeiros, previstos e suportados em Orçamento Anual do Estado de Sergipe, e nas respectivas emendas parlamentares impositivas.</w:t>
      </w:r>
    </w:p>
    <w:p w:rsidR="006E397C" w:rsidRDefault="006E397C">
      <w:pPr>
        <w:ind w:right="98"/>
        <w:jc w:val="both"/>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Pr>
          <w:rFonts w:ascii="Times New Roman" w:eastAsia="Times New Roman" w:hAnsi="Times New Roman" w:cs="Times New Roman"/>
          <w:sz w:val="24"/>
          <w:szCs w:val="24"/>
        </w:rPr>
        <w:t>á identidade e reciprocidade de interesse das partes na realização, em mútua cooperação, da parceria prevista, considerando as diretrizes outorgadas pela LDO. Notadamente, o objetivo proposto, adequadamente previsto na parceria entre a proponente e a Admin</w:t>
      </w:r>
      <w:r>
        <w:rPr>
          <w:rFonts w:ascii="Times New Roman" w:eastAsia="Times New Roman" w:hAnsi="Times New Roman" w:cs="Times New Roman"/>
          <w:sz w:val="24"/>
          <w:szCs w:val="24"/>
        </w:rPr>
        <w:t>istração Pública, caracteriza-se reciprocidade de interesse das partes na realização, em mútua cooperação, da parceria prevista na Lei nº 13.019/2014, devidamente atualizada.</w:t>
      </w:r>
    </w:p>
    <w:p w:rsidR="006E397C" w:rsidRDefault="006E397C">
      <w:pPr>
        <w:pStyle w:val="PargrafodaLista"/>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hAnsi="Times New Roman"/>
          <w:sz w:val="24"/>
          <w:szCs w:val="24"/>
        </w:rPr>
      </w:pPr>
      <w:r>
        <w:rPr>
          <w:rFonts w:ascii="Times New Roman" w:eastAsia="Times New Roman" w:hAnsi="Times New Roman" w:cs="Times New Roman"/>
          <w:sz w:val="24"/>
          <w:szCs w:val="24"/>
        </w:rPr>
        <w:t>Ne</w:t>
      </w:r>
      <w:r>
        <w:rPr>
          <w:rFonts w:ascii="Times New Roman" w:eastAsia="Calibri" w:hAnsi="Times New Roman"/>
          <w:sz w:val="24"/>
          <w:szCs w:val="24"/>
          <w:lang w:eastAsia="en-US"/>
        </w:rPr>
        <w:t>ste contexto, há</w:t>
      </w:r>
      <w:r>
        <w:rPr>
          <w:rFonts w:ascii="Times New Roman" w:eastAsia="Calibri" w:hAnsi="Times New Roman"/>
          <w:bCs/>
          <w:sz w:val="24"/>
          <w:szCs w:val="24"/>
          <w:lang w:eastAsia="en-US"/>
        </w:rPr>
        <w:t xml:space="preserve"> viabilidade de sua execução, com estimativa de custos propost</w:t>
      </w:r>
      <w:r>
        <w:rPr>
          <w:rFonts w:ascii="Times New Roman" w:eastAsia="Calibri" w:hAnsi="Times New Roman"/>
          <w:bCs/>
          <w:sz w:val="24"/>
          <w:szCs w:val="24"/>
          <w:lang w:eastAsia="en-US"/>
        </w:rPr>
        <w:t xml:space="preserve">os compatíveis com os preços praticados no mercado, conforme orçamentos apresentados pela </w:t>
      </w:r>
      <w:r>
        <w:rPr>
          <w:rFonts w:ascii="Times New Roman" w:eastAsia="Calibri" w:hAnsi="Times New Roman"/>
          <w:bCs/>
          <w:sz w:val="24"/>
          <w:szCs w:val="24"/>
          <w:lang w:eastAsia="en-US"/>
        </w:rPr>
        <w:lastRenderedPageBreak/>
        <w:t>Entidade/Associação. Observando o Plano de Trabalho acostado aos autos do processo, registramos o atendimento as prescrições dos artigos 22 da Lei 13.019/2014, demons</w:t>
      </w:r>
      <w:r>
        <w:rPr>
          <w:rFonts w:ascii="Times New Roman" w:eastAsia="Calibri" w:hAnsi="Times New Roman"/>
          <w:bCs/>
          <w:sz w:val="24"/>
          <w:szCs w:val="24"/>
          <w:lang w:eastAsia="en-US"/>
        </w:rPr>
        <w:t>trado pelo atesto da viabilidade de sua execução, certificada pelo técnico analista do processo. Ressaltamos, contudo, que a</w:t>
      </w:r>
      <w:r>
        <w:rPr>
          <w:rFonts w:ascii="Times New Roman" w:hAnsi="Times New Roman"/>
          <w:sz w:val="24"/>
          <w:szCs w:val="24"/>
        </w:rPr>
        <w:t xml:space="preserve"> implementação do plano de trabalho se dará com apoio desta Secretaria de Estado da Agricultura, Desenvolvimento Agrário e da Pesca,</w:t>
      </w:r>
      <w:r>
        <w:rPr>
          <w:rFonts w:ascii="Times New Roman" w:hAnsi="Times New Roman"/>
          <w:sz w:val="24"/>
          <w:szCs w:val="24"/>
        </w:rPr>
        <w:t xml:space="preserve"> observando ainda que os recursos serão integralmente transferidos para a conta (remunerada) da Entidade, vinculada a esta parceria, aberta exclusivamente para esse fim.</w:t>
      </w:r>
    </w:p>
    <w:p w:rsidR="006E397C" w:rsidRDefault="006E397C">
      <w:pPr>
        <w:ind w:right="98"/>
        <w:jc w:val="both"/>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cronograma de desembolso proposto está adequadamente satisfatório, conforme assegur</w:t>
      </w:r>
      <w:r>
        <w:rPr>
          <w:rFonts w:ascii="Times New Roman" w:eastAsia="Times New Roman" w:hAnsi="Times New Roman" w:cs="Times New Roman"/>
          <w:sz w:val="24"/>
          <w:szCs w:val="24"/>
        </w:rPr>
        <w:t>ado pelo técnico analisa, demonstrando coerência com o objeto demandado, permitindo a sua efetiva fiscalização, desde que regularmente acompanhado em sua execução, mediante a realização de supervisão física e financeira, com adequado acompanhamento periódi</w:t>
      </w:r>
      <w:r>
        <w:rPr>
          <w:rFonts w:ascii="Times New Roman" w:eastAsia="Times New Roman" w:hAnsi="Times New Roman" w:cs="Times New Roman"/>
          <w:sz w:val="24"/>
          <w:szCs w:val="24"/>
        </w:rPr>
        <w:t>co, que deverá fornecer as informações e análises necessárias aos diferentes níveis de execução para a gestão estratégica da parceria. Conforme se depreende do Estatuto Social apensado, há previsão de que, em caso de dissolução da entidade, o respectivo pa</w:t>
      </w:r>
      <w:r>
        <w:rPr>
          <w:rFonts w:ascii="Times New Roman" w:eastAsia="Times New Roman" w:hAnsi="Times New Roman" w:cs="Times New Roman"/>
          <w:sz w:val="24"/>
          <w:szCs w:val="24"/>
        </w:rPr>
        <w:t>trimônio líquido seja transferido a outra pessoa jurídica de igual natureza.</w:t>
      </w:r>
    </w:p>
    <w:p w:rsidR="006E397C" w:rsidRDefault="006E397C">
      <w:pPr>
        <w:pStyle w:val="PargrafodaLista"/>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Ademais, cumpre destacar a necessidade de apreciação da justificativa de interesse público, elemento indispensável para a formalização de parcerias dessa natureza. A Lei nº 13.01</w:t>
      </w:r>
      <w:r>
        <w:rPr>
          <w:rFonts w:ascii="Times New Roman" w:eastAsia="Times New Roman" w:hAnsi="Times New Roman" w:cs="Times New Roman"/>
          <w:sz w:val="24"/>
          <w:szCs w:val="24"/>
        </w:rPr>
        <w:t xml:space="preserve">9/2014, em seu art. 5º, elenca como objetivos das parcerias com Organizações da Sociedade Civil a promoção do desenvolvimento local, regional e nacional, inclusivo e sustentável, a defesa e promoção de direitos, o fortalecimento institucional da sociedade </w:t>
      </w:r>
      <w:r>
        <w:rPr>
          <w:rFonts w:ascii="Times New Roman" w:eastAsia="Times New Roman" w:hAnsi="Times New Roman" w:cs="Times New Roman"/>
          <w:sz w:val="24"/>
          <w:szCs w:val="24"/>
        </w:rPr>
        <w:t>civil e a implementação de políticas públicas em regime de cooperação. No presente caso, a proposta de locação de horas-máquina trator apresenta elementos que permitem vislumbrar potencial interesse público, na medida em que pode contribuir para o fortalec</w:t>
      </w:r>
      <w:r>
        <w:rPr>
          <w:rFonts w:ascii="Times New Roman" w:eastAsia="Times New Roman" w:hAnsi="Times New Roman" w:cs="Times New Roman"/>
          <w:sz w:val="24"/>
          <w:szCs w:val="24"/>
        </w:rPr>
        <w:t>imento da agricultura familiar, a modernização das práticas produtivas, a redução de custos operacionais e o incremento da produção agrícola local. Tais efeitos, se concretizados, tendem a beneficiar a coletividade e a impulsionar o desenvolvimento socioec</w:t>
      </w:r>
      <w:r>
        <w:rPr>
          <w:rFonts w:ascii="Times New Roman" w:eastAsia="Times New Roman" w:hAnsi="Times New Roman" w:cs="Times New Roman"/>
          <w:sz w:val="24"/>
          <w:szCs w:val="24"/>
        </w:rPr>
        <w:t>onômico da região. Assim, embora direcionada a atender demanda específica da entidade, a iniciativa demonstra aptidão para se projetar além do interesse particular, configurando possibilidade de alinhamento com o interesse público.</w:t>
      </w:r>
    </w:p>
    <w:p w:rsidR="006E397C" w:rsidRDefault="006E397C">
      <w:pPr>
        <w:ind w:right="98"/>
        <w:jc w:val="both"/>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Ressalta-se que o técni</w:t>
      </w:r>
      <w:r>
        <w:rPr>
          <w:rFonts w:ascii="Times New Roman" w:eastAsia="Times New Roman" w:hAnsi="Times New Roman" w:cs="Times New Roman"/>
          <w:sz w:val="24"/>
          <w:szCs w:val="24"/>
        </w:rPr>
        <w:t>co responsável pela instrução processual deverá, além de observar os requisitos constantes no Parecer Referencial nº 5365/2025 da Procuradoria-Geral do Estado e no parecer emitido por esta Comissão, observar, minuciosamente, o preenchimento do plano de tra</w:t>
      </w:r>
      <w:r>
        <w:rPr>
          <w:rFonts w:ascii="Times New Roman" w:eastAsia="Times New Roman" w:hAnsi="Times New Roman" w:cs="Times New Roman"/>
          <w:sz w:val="24"/>
          <w:szCs w:val="24"/>
        </w:rPr>
        <w:t>balho e todos os documentos apensados aos autos, seguindo também as orientações emanadas pela Comissão de Monitoramento e Avaliação, garantindo assim a conformidade do processo com os parâmetros legais e administrativos aplicáveis.</w:t>
      </w:r>
    </w:p>
    <w:p w:rsidR="006E397C" w:rsidRDefault="006E397C">
      <w:pPr>
        <w:pStyle w:val="PargrafodaLista"/>
        <w:rPr>
          <w:rFonts w:ascii="Times New Roman" w:eastAsia="Times New Roman" w:hAnsi="Times New Roman" w:cs="Times New Roman"/>
          <w:sz w:val="24"/>
          <w:szCs w:val="24"/>
        </w:rPr>
      </w:pPr>
    </w:p>
    <w:p w:rsidR="006E397C" w:rsidRDefault="0017716D">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Cumpre registrar que, e</w:t>
      </w:r>
      <w:r>
        <w:rPr>
          <w:rFonts w:ascii="Times New Roman" w:eastAsia="Times New Roman" w:hAnsi="Times New Roman" w:cs="Times New Roman"/>
          <w:sz w:val="24"/>
          <w:szCs w:val="24"/>
        </w:rPr>
        <w:t>m consonância com o Parecer Referencial nº 5365/2025 da Procuradoria-Geral do Estado – PGE, que trata especificamente da aplicação da Lei Federal nº 13.019/2014 (MROSC) e do Decreto Estadual nº 30.874/2017 nas parcerias oriundas de emendas parlamentares im</w:t>
      </w:r>
      <w:r>
        <w:rPr>
          <w:rFonts w:ascii="Times New Roman" w:eastAsia="Times New Roman" w:hAnsi="Times New Roman" w:cs="Times New Roman"/>
          <w:sz w:val="24"/>
          <w:szCs w:val="24"/>
        </w:rPr>
        <w:t xml:space="preserve">positivas, este parecer técnico do Grupo de Trabalho adota integralmente as orientações nele constantes, razão pela qual o referido parecer jurídico é </w:t>
      </w:r>
      <w:r>
        <w:rPr>
          <w:rFonts w:ascii="Times New Roman" w:eastAsia="Times New Roman" w:hAnsi="Times New Roman" w:cs="Times New Roman"/>
          <w:sz w:val="24"/>
          <w:szCs w:val="24"/>
        </w:rPr>
        <w:lastRenderedPageBreak/>
        <w:t>ora anexado aos autos, juntamente com a Portaria PGE nº 2322/2025, que regulamenta sua aplicação no âmbit</w:t>
      </w:r>
      <w:r>
        <w:rPr>
          <w:rFonts w:ascii="Times New Roman" w:eastAsia="Times New Roman" w:hAnsi="Times New Roman" w:cs="Times New Roman"/>
          <w:sz w:val="24"/>
          <w:szCs w:val="24"/>
        </w:rPr>
        <w:t>o da Administração Estadual. Dessa forma, fica assegurada a conformidade do presente processo com o rito padronizado estabelecido pela PGE, conferindo segurança jurídica e celeridade à análise realizada.</w:t>
      </w:r>
    </w:p>
    <w:p w:rsidR="006E397C" w:rsidRDefault="006E397C">
      <w:pPr>
        <w:ind w:right="98"/>
        <w:jc w:val="both"/>
        <w:rPr>
          <w:rFonts w:ascii="Times New Roman" w:eastAsia="Times New Roman" w:hAnsi="Times New Roman" w:cs="Times New Roman"/>
          <w:sz w:val="24"/>
          <w:szCs w:val="24"/>
        </w:rPr>
      </w:pPr>
    </w:p>
    <w:p w:rsidR="006E397C" w:rsidRDefault="0017716D">
      <w:pPr>
        <w:ind w:right="9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CONCLUSÃO:</w:t>
      </w:r>
    </w:p>
    <w:p w:rsidR="006E397C" w:rsidRDefault="006E397C">
      <w:pPr>
        <w:ind w:right="98"/>
        <w:jc w:val="both"/>
        <w:rPr>
          <w:rFonts w:ascii="Times New Roman" w:eastAsia="Times New Roman" w:hAnsi="Times New Roman" w:cs="Times New Roman"/>
          <w:sz w:val="24"/>
          <w:szCs w:val="24"/>
        </w:rPr>
      </w:pPr>
    </w:p>
    <w:p w:rsidR="006E397C" w:rsidRDefault="0017716D">
      <w:pPr>
        <w:ind w:right="98"/>
        <w:jc w:val="both"/>
      </w:pPr>
      <w:r>
        <w:rPr>
          <w:rFonts w:ascii="Times New Roman" w:eastAsia="Times New Roman" w:hAnsi="Times New Roman" w:cs="Times New Roman"/>
          <w:sz w:val="24"/>
          <w:szCs w:val="24"/>
        </w:rPr>
        <w:t xml:space="preserve">12. </w:t>
      </w:r>
      <w:r>
        <w:rPr>
          <w:rFonts w:ascii="Times New Roman" w:eastAsia="Times New Roman" w:hAnsi="Times New Roman" w:cs="Times New Roman"/>
          <w:sz w:val="24"/>
          <w:szCs w:val="24"/>
        </w:rPr>
        <w:tab/>
      </w:r>
      <w:r>
        <w:rPr>
          <w:rFonts w:ascii="Times New Roman" w:eastAsia="Calibri" w:hAnsi="Times New Roman" w:cs="Times New Roman"/>
          <w:sz w:val="24"/>
          <w:szCs w:val="24"/>
          <w:lang w:eastAsia="en-US"/>
        </w:rPr>
        <w:t xml:space="preserve">Pelo exposto, considerando os </w:t>
      </w:r>
      <w:r>
        <w:rPr>
          <w:rFonts w:ascii="Times New Roman" w:eastAsia="Calibri" w:hAnsi="Times New Roman" w:cs="Times New Roman"/>
          <w:sz w:val="24"/>
          <w:szCs w:val="24"/>
          <w:lang w:eastAsia="en-US"/>
        </w:rPr>
        <w:t>documentos carreados aos autos do processo, adequadamente instru</w:t>
      </w:r>
      <w:r>
        <w:rPr>
          <w:rFonts w:ascii="Times New Roman" w:eastAsia="Calibri" w:hAnsi="Times New Roman"/>
          <w:sz w:val="24"/>
          <w:szCs w:val="24"/>
          <w:lang w:eastAsia="en-US"/>
        </w:rPr>
        <w:t>ídos com os documentos de regularidade jurídica e fiscal da proponente, prescritas no artigo 34 da lei 13.019/2014, outorgando declarações de atendimento as prescrições legais, na forma discip</w:t>
      </w:r>
      <w:r>
        <w:rPr>
          <w:rFonts w:ascii="Times New Roman" w:eastAsia="Calibri" w:hAnsi="Times New Roman"/>
          <w:sz w:val="24"/>
          <w:szCs w:val="24"/>
          <w:lang w:eastAsia="en-US"/>
        </w:rPr>
        <w:t xml:space="preserve">linada na legislação vigente, concluímos/opinamos pela possibilidade de celebração da parceria analisada, </w:t>
      </w:r>
      <w:r>
        <w:rPr>
          <w:rFonts w:ascii="Times New Roman" w:hAnsi="Times New Roman"/>
          <w:sz w:val="24"/>
          <w:szCs w:val="24"/>
        </w:rPr>
        <w:t xml:space="preserve">ante ao </w:t>
      </w:r>
      <w:r>
        <w:rPr>
          <w:rFonts w:ascii="Times New Roman" w:eastAsia="Calibri" w:hAnsi="Times New Roman"/>
          <w:sz w:val="24"/>
          <w:szCs w:val="24"/>
          <w:lang w:eastAsia="en-US"/>
        </w:rPr>
        <w:t>nexo demonstrado entre as atividades propostas no plano de trabalho e o objeto previsto na emenda parlamentar impositiva, atestando que a pres</w:t>
      </w:r>
      <w:r>
        <w:rPr>
          <w:rFonts w:ascii="Times New Roman" w:eastAsia="Calibri" w:hAnsi="Times New Roman"/>
          <w:sz w:val="24"/>
          <w:szCs w:val="24"/>
          <w:lang w:eastAsia="en-US"/>
        </w:rPr>
        <w:t xml:space="preserve">ente justificativa/autorização formal e a relação das parcerias estarão disponíveis/publicadas no site da Seagri </w:t>
      </w:r>
      <w:hyperlink r:id="rId6">
        <w:r>
          <w:rPr>
            <w:rFonts w:ascii="Times New Roman" w:eastAsia="Calibri" w:hAnsi="Times New Roman"/>
            <w:color w:val="0000FF"/>
            <w:sz w:val="24"/>
            <w:szCs w:val="24"/>
            <w:u w:val="single"/>
            <w:lang w:eastAsia="en-US"/>
          </w:rPr>
          <w:t>https://seagri.se.gov.br/transparencia/convenios-e-ter</w:t>
        </w:r>
        <w:r>
          <w:rPr>
            <w:rFonts w:ascii="Times New Roman" w:eastAsia="Calibri" w:hAnsi="Times New Roman"/>
            <w:color w:val="0000FF"/>
            <w:sz w:val="24"/>
            <w:szCs w:val="24"/>
            <w:u w:val="single"/>
            <w:lang w:eastAsia="en-US"/>
          </w:rPr>
          <w:t>mos-de-parcerias/</w:t>
        </w:r>
      </w:hyperlink>
      <w:r>
        <w:rPr>
          <w:rFonts w:ascii="Times New Roman" w:eastAsia="Calibri" w:hAnsi="Times New Roman"/>
          <w:sz w:val="24"/>
          <w:szCs w:val="24"/>
          <w:lang w:eastAsia="en-US"/>
        </w:rPr>
        <w:t>, devendo permanecer publicadas, no mínimo, até 180 dias após o encerramento das parcerias, ao que submetemos a homologação/autorização do Secretário de Estado da Agricultura, Desenvolvimento Agrário e da Pesca.</w:t>
      </w:r>
    </w:p>
    <w:sectPr w:rsidR="006E397C" w:rsidSect="006E397C">
      <w:pgSz w:w="11906" w:h="16838"/>
      <w:pgMar w:top="1440" w:right="1440" w:bottom="1440" w:left="1440" w:header="0" w:footer="0" w:gutter="0"/>
      <w:pgNumType w:start="1"/>
      <w:cols w:space="720"/>
      <w:formProt w:val="0"/>
      <w:docGrid w:linePitch="100" w:charSpace="1228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0">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BoldMT">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FE7158"/>
    <w:multiLevelType w:val="multilevel"/>
    <w:tmpl w:val="6B76F8C8"/>
    <w:lvl w:ilvl="0">
      <w:start w:val="1"/>
      <w:numFmt w:val="decimal"/>
      <w:lvlText w:val="%1."/>
      <w:lvlJc w:val="left"/>
      <w:pPr>
        <w:tabs>
          <w:tab w:val="num" w:pos="0"/>
        </w:tabs>
        <w:ind w:left="720" w:hanging="360"/>
      </w:pPr>
      <w:rPr>
        <w:b w:val="0"/>
        <w:bCs/>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
    <w:nsid w:val="67101F3C"/>
    <w:multiLevelType w:val="multilevel"/>
    <w:tmpl w:val="0C927D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autoHyphenation/>
  <w:hyphenationZone w:val="425"/>
  <w:characterSpacingControl w:val="doNotCompress"/>
  <w:compat/>
  <w:rsids>
    <w:rsidRoot w:val="006E397C"/>
    <w:rsid w:val="0017716D"/>
    <w:rsid w:val="006E397C"/>
  </w:rsids>
  <m:mathPr>
    <m:mathFont m:val="Cambria Math"/>
    <m:brkBin m:val="before"/>
    <m:brkBinSub m:val="--"/>
    <m:smallFrac m:val="off"/>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97C"/>
    <w:pPr>
      <w:spacing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uiPriority w:val="9"/>
    <w:qFormat/>
    <w:rsid w:val="006E397C"/>
    <w:pPr>
      <w:keepNext/>
      <w:keepLines/>
      <w:spacing w:before="400" w:after="120"/>
      <w:outlineLvl w:val="0"/>
    </w:pPr>
    <w:rPr>
      <w:sz w:val="40"/>
      <w:szCs w:val="40"/>
    </w:rPr>
  </w:style>
  <w:style w:type="paragraph" w:customStyle="1" w:styleId="Heading2">
    <w:name w:val="Heading 2"/>
    <w:basedOn w:val="Normal"/>
    <w:next w:val="Normal"/>
    <w:uiPriority w:val="9"/>
    <w:semiHidden/>
    <w:unhideWhenUsed/>
    <w:qFormat/>
    <w:rsid w:val="006E397C"/>
    <w:pPr>
      <w:keepNext/>
      <w:keepLines/>
      <w:spacing w:before="360" w:after="120"/>
      <w:outlineLvl w:val="1"/>
    </w:pPr>
    <w:rPr>
      <w:sz w:val="32"/>
      <w:szCs w:val="32"/>
    </w:rPr>
  </w:style>
  <w:style w:type="paragraph" w:customStyle="1" w:styleId="Heading3">
    <w:name w:val="Heading 3"/>
    <w:basedOn w:val="Normal"/>
    <w:next w:val="Normal"/>
    <w:uiPriority w:val="9"/>
    <w:semiHidden/>
    <w:unhideWhenUsed/>
    <w:qFormat/>
    <w:rsid w:val="006E397C"/>
    <w:pPr>
      <w:keepNext/>
      <w:keepLines/>
      <w:spacing w:before="320" w:after="80"/>
      <w:outlineLvl w:val="2"/>
    </w:pPr>
    <w:rPr>
      <w:color w:val="434343"/>
      <w:sz w:val="28"/>
      <w:szCs w:val="28"/>
    </w:rPr>
  </w:style>
  <w:style w:type="paragraph" w:customStyle="1" w:styleId="Heading4">
    <w:name w:val="Heading 4"/>
    <w:basedOn w:val="Normal"/>
    <w:next w:val="Normal"/>
    <w:uiPriority w:val="9"/>
    <w:semiHidden/>
    <w:unhideWhenUsed/>
    <w:qFormat/>
    <w:rsid w:val="006E397C"/>
    <w:pPr>
      <w:keepNext/>
      <w:keepLines/>
      <w:spacing w:before="280" w:after="80"/>
      <w:outlineLvl w:val="3"/>
    </w:pPr>
    <w:rPr>
      <w:color w:val="666666"/>
      <w:sz w:val="24"/>
      <w:szCs w:val="24"/>
    </w:rPr>
  </w:style>
  <w:style w:type="paragraph" w:customStyle="1" w:styleId="Heading5">
    <w:name w:val="Heading 5"/>
    <w:basedOn w:val="Normal"/>
    <w:next w:val="Normal"/>
    <w:uiPriority w:val="9"/>
    <w:semiHidden/>
    <w:unhideWhenUsed/>
    <w:qFormat/>
    <w:rsid w:val="006E397C"/>
    <w:pPr>
      <w:keepNext/>
      <w:keepLines/>
      <w:spacing w:before="240" w:after="80"/>
      <w:outlineLvl w:val="4"/>
    </w:pPr>
    <w:rPr>
      <w:color w:val="666666"/>
    </w:rPr>
  </w:style>
  <w:style w:type="paragraph" w:customStyle="1" w:styleId="Heading6">
    <w:name w:val="Heading 6"/>
    <w:basedOn w:val="Normal"/>
    <w:next w:val="Normal"/>
    <w:uiPriority w:val="9"/>
    <w:semiHidden/>
    <w:unhideWhenUsed/>
    <w:qFormat/>
    <w:rsid w:val="006E397C"/>
    <w:pPr>
      <w:keepNext/>
      <w:keepLines/>
      <w:spacing w:before="240" w:after="80"/>
      <w:outlineLvl w:val="5"/>
    </w:pPr>
    <w:rPr>
      <w:i/>
      <w:color w:val="666666"/>
    </w:rPr>
  </w:style>
  <w:style w:type="character" w:customStyle="1" w:styleId="LinkdaInternet">
    <w:name w:val="Link da Internet"/>
    <w:rsid w:val="006E397C"/>
    <w:rPr>
      <w:color w:val="000080"/>
      <w:u w:val="single"/>
    </w:rPr>
  </w:style>
  <w:style w:type="character" w:customStyle="1" w:styleId="whitespacewrap">
    <w:name w:val="whitespacewrap"/>
    <w:qFormat/>
    <w:rsid w:val="006E397C"/>
  </w:style>
  <w:style w:type="character" w:customStyle="1" w:styleId="txtbold">
    <w:name w:val="txtbold"/>
    <w:qFormat/>
    <w:rsid w:val="006E397C"/>
  </w:style>
  <w:style w:type="character" w:customStyle="1" w:styleId="Ttulo4Char">
    <w:name w:val="Título 4 Char"/>
    <w:qFormat/>
    <w:rsid w:val="006E397C"/>
    <w:rPr>
      <w:rFonts w:ascii="Cambria" w:hAnsi="Cambria" w:cs="0"/>
      <w:b/>
      <w:bCs/>
      <w:i/>
      <w:iCs/>
      <w:color w:val="4F81BD"/>
    </w:rPr>
  </w:style>
  <w:style w:type="character" w:customStyle="1" w:styleId="RodapChar">
    <w:name w:val="Rodapé Char"/>
    <w:qFormat/>
    <w:rsid w:val="006E397C"/>
  </w:style>
  <w:style w:type="character" w:customStyle="1" w:styleId="footnotemark">
    <w:name w:val="footnote mark"/>
    <w:qFormat/>
    <w:rsid w:val="006E397C"/>
    <w:rPr>
      <w:rFonts w:ascii="Verdana" w:eastAsia="Verdana" w:hAnsi="Verdana" w:cs="Verdana"/>
      <w:color w:val="000000"/>
      <w:sz w:val="16"/>
      <w:vertAlign w:val="superscript"/>
    </w:rPr>
  </w:style>
  <w:style w:type="character" w:customStyle="1" w:styleId="footnotedescriptionChar">
    <w:name w:val="footnote description Char"/>
    <w:qFormat/>
    <w:rsid w:val="006E397C"/>
    <w:rPr>
      <w:rFonts w:ascii="Verdana" w:eastAsia="Verdana" w:hAnsi="Verdana" w:cs="Verdana"/>
      <w:color w:val="000000"/>
      <w:sz w:val="16"/>
      <w:szCs w:val="22"/>
    </w:rPr>
  </w:style>
  <w:style w:type="character" w:customStyle="1" w:styleId="FootnoteCharacters">
    <w:name w:val="Footnote Characters"/>
    <w:qFormat/>
    <w:rsid w:val="006E397C"/>
    <w:rPr>
      <w:vertAlign w:val="superscript"/>
    </w:rPr>
  </w:style>
  <w:style w:type="character" w:customStyle="1" w:styleId="TextodenotaderodapChar">
    <w:name w:val="Texto de nota de rodapé Char"/>
    <w:qFormat/>
    <w:rsid w:val="006E397C"/>
    <w:rPr>
      <w:rFonts w:ascii="Verdana" w:eastAsia="Verdana" w:hAnsi="Verdana" w:cs="Verdana"/>
      <w:color w:val="000000"/>
    </w:rPr>
  </w:style>
  <w:style w:type="character" w:customStyle="1" w:styleId="st">
    <w:name w:val="st"/>
    <w:qFormat/>
    <w:rsid w:val="006E397C"/>
  </w:style>
  <w:style w:type="character" w:customStyle="1" w:styleId="PargrafodaListaChar">
    <w:name w:val="Parágrafo da Lista Char"/>
    <w:qFormat/>
    <w:rsid w:val="006E397C"/>
    <w:rPr>
      <w:rFonts w:ascii="Verdana" w:eastAsia="Verdana" w:hAnsi="Verdana" w:cs="Verdana"/>
      <w:color w:val="000000"/>
      <w:szCs w:val="22"/>
    </w:rPr>
  </w:style>
  <w:style w:type="character" w:styleId="Nmerodelinha">
    <w:name w:val="line number"/>
    <w:qFormat/>
    <w:rsid w:val="006E397C"/>
  </w:style>
  <w:style w:type="character" w:customStyle="1" w:styleId="TextodebaloChar">
    <w:name w:val="Texto de balão Char"/>
    <w:qFormat/>
    <w:rsid w:val="006E397C"/>
    <w:rPr>
      <w:rFonts w:ascii="Tahoma" w:hAnsi="Tahoma" w:cs="Tahoma"/>
      <w:sz w:val="16"/>
      <w:szCs w:val="16"/>
      <w:lang w:eastAsia="ar-SA"/>
    </w:rPr>
  </w:style>
  <w:style w:type="character" w:customStyle="1" w:styleId="Ttulo3Char">
    <w:name w:val="Título 3 Char"/>
    <w:qFormat/>
    <w:rsid w:val="006E397C"/>
    <w:rPr>
      <w:sz w:val="28"/>
    </w:rPr>
  </w:style>
  <w:style w:type="character" w:customStyle="1" w:styleId="Ttulo2Char">
    <w:name w:val="Título 2 Char"/>
    <w:qFormat/>
    <w:rsid w:val="006E397C"/>
    <w:rPr>
      <w:sz w:val="28"/>
    </w:rPr>
  </w:style>
  <w:style w:type="character" w:customStyle="1" w:styleId="Ttulo1Char">
    <w:name w:val="Título 1 Char"/>
    <w:qFormat/>
    <w:rsid w:val="006E397C"/>
    <w:rPr>
      <w:rFonts w:ascii="Arial" w:hAnsi="Arial"/>
      <w:b/>
      <w:kern w:val="2"/>
      <w:sz w:val="28"/>
    </w:rPr>
  </w:style>
  <w:style w:type="character" w:customStyle="1" w:styleId="Fontepargpadro1">
    <w:name w:val="Fonte parág. padrão1"/>
    <w:qFormat/>
    <w:rsid w:val="006E397C"/>
  </w:style>
  <w:style w:type="character" w:customStyle="1" w:styleId="WW-Absatz-Standardschriftart">
    <w:name w:val="WW-Absatz-Standardschriftart"/>
    <w:qFormat/>
    <w:rsid w:val="006E397C"/>
  </w:style>
  <w:style w:type="character" w:customStyle="1" w:styleId="Absatz-Standardschriftart">
    <w:name w:val="Absatz-Standardschriftart"/>
    <w:qFormat/>
    <w:rsid w:val="006E397C"/>
  </w:style>
  <w:style w:type="paragraph" w:styleId="Ttulo">
    <w:name w:val="Title"/>
    <w:basedOn w:val="Normal"/>
    <w:next w:val="Corpodetexto"/>
    <w:uiPriority w:val="10"/>
    <w:qFormat/>
    <w:rsid w:val="006E397C"/>
    <w:pPr>
      <w:keepNext/>
      <w:keepLines/>
      <w:spacing w:after="60"/>
    </w:pPr>
    <w:rPr>
      <w:sz w:val="52"/>
      <w:szCs w:val="52"/>
    </w:rPr>
  </w:style>
  <w:style w:type="paragraph" w:styleId="Corpodetexto">
    <w:name w:val="Body Text"/>
    <w:basedOn w:val="Normal"/>
    <w:rsid w:val="006E397C"/>
    <w:pPr>
      <w:spacing w:after="140"/>
    </w:pPr>
  </w:style>
  <w:style w:type="paragraph" w:styleId="Lista">
    <w:name w:val="List"/>
    <w:basedOn w:val="Corpodetexto"/>
    <w:rsid w:val="006E397C"/>
  </w:style>
  <w:style w:type="paragraph" w:customStyle="1" w:styleId="Caption">
    <w:name w:val="Caption"/>
    <w:basedOn w:val="Normal"/>
    <w:qFormat/>
    <w:rsid w:val="006E397C"/>
    <w:pPr>
      <w:suppressLineNumbers/>
      <w:spacing w:before="120" w:after="120"/>
    </w:pPr>
    <w:rPr>
      <w:rFonts w:cs="Lucida Sans"/>
      <w:i/>
      <w:iCs/>
      <w:sz w:val="24"/>
      <w:szCs w:val="24"/>
    </w:rPr>
  </w:style>
  <w:style w:type="paragraph" w:customStyle="1" w:styleId="ndice">
    <w:name w:val="Índice"/>
    <w:basedOn w:val="Normal"/>
    <w:qFormat/>
    <w:rsid w:val="006E397C"/>
    <w:pPr>
      <w:suppressLineNumbers/>
    </w:pPr>
  </w:style>
  <w:style w:type="paragraph" w:styleId="Legenda">
    <w:name w:val="caption"/>
    <w:basedOn w:val="Normal"/>
    <w:qFormat/>
    <w:rsid w:val="006E397C"/>
    <w:pPr>
      <w:suppressLineNumbers/>
      <w:spacing w:before="120" w:after="120"/>
    </w:pPr>
    <w:rPr>
      <w:i/>
      <w:iCs/>
      <w:sz w:val="24"/>
      <w:szCs w:val="24"/>
    </w:rPr>
  </w:style>
  <w:style w:type="paragraph" w:styleId="Subttulo">
    <w:name w:val="Subtitle"/>
    <w:basedOn w:val="Normal"/>
    <w:next w:val="Normal"/>
    <w:uiPriority w:val="11"/>
    <w:qFormat/>
    <w:rsid w:val="006E397C"/>
    <w:pPr>
      <w:keepNext/>
      <w:keepLines/>
      <w:spacing w:after="320"/>
    </w:pPr>
    <w:rPr>
      <w:color w:val="666666"/>
      <w:sz w:val="30"/>
      <w:szCs w:val="30"/>
    </w:rPr>
  </w:style>
  <w:style w:type="paragraph" w:styleId="PargrafodaLista">
    <w:name w:val="List Paragraph"/>
    <w:basedOn w:val="Normal"/>
    <w:uiPriority w:val="34"/>
    <w:qFormat/>
    <w:rsid w:val="005A1139"/>
    <w:pPr>
      <w:ind w:left="720"/>
      <w:contextualSpacing/>
    </w:pPr>
  </w:style>
  <w:style w:type="paragraph" w:customStyle="1" w:styleId="Default">
    <w:name w:val="Default"/>
    <w:qFormat/>
    <w:rsid w:val="006E397C"/>
    <w:pPr>
      <w:spacing w:line="276" w:lineRule="auto"/>
    </w:pPr>
    <w:rPr>
      <w:color w:val="000000"/>
      <w:sz w:val="24"/>
      <w:szCs w:val="24"/>
    </w:rPr>
  </w:style>
  <w:style w:type="paragraph" w:customStyle="1" w:styleId="footnotedescription">
    <w:name w:val="footnote description"/>
    <w:next w:val="Normal"/>
    <w:qFormat/>
    <w:rsid w:val="006E397C"/>
    <w:pPr>
      <w:spacing w:after="8" w:line="242" w:lineRule="auto"/>
      <w:ind w:left="142" w:right="11" w:hanging="11"/>
      <w:jc w:val="both"/>
    </w:pPr>
    <w:rPr>
      <w:rFonts w:ascii="Verdana" w:eastAsia="Verdana" w:hAnsi="Verdana" w:cs="Verdana"/>
      <w:color w:val="000000"/>
      <w:kern w:val="2"/>
      <w:sz w:val="16"/>
      <w:lang w:eastAsia="zh-CN" w:bidi="hi-IN"/>
    </w:rPr>
  </w:style>
  <w:style w:type="paragraph" w:customStyle="1" w:styleId="MOPtextocmarcador">
    <w:name w:val="MOP texto c marcador"/>
    <w:basedOn w:val="Normal"/>
    <w:qFormat/>
    <w:rsid w:val="006E397C"/>
    <w:pPr>
      <w:tabs>
        <w:tab w:val="left" w:pos="1701"/>
        <w:tab w:val="right" w:pos="5216"/>
      </w:tabs>
      <w:spacing w:after="120"/>
      <w:ind w:left="1701" w:hanging="709"/>
      <w:jc w:val="both"/>
    </w:pPr>
  </w:style>
  <w:style w:type="paragraph" w:customStyle="1" w:styleId="Recuodecorpodetexto21">
    <w:name w:val="Recuo de corpo de texto 21"/>
    <w:basedOn w:val="Normal"/>
    <w:qFormat/>
    <w:rsid w:val="006E397C"/>
    <w:pPr>
      <w:widowControl w:val="0"/>
      <w:suppressAutoHyphens w:val="0"/>
      <w:ind w:left="284" w:right="11" w:hanging="284"/>
      <w:jc w:val="both"/>
    </w:pPr>
    <w:rPr>
      <w:spacing w:val="-3"/>
      <w:lang w:val="en-US"/>
    </w:rPr>
  </w:style>
  <w:style w:type="paragraph" w:styleId="Textodebalo">
    <w:name w:val="Balloon Text"/>
    <w:basedOn w:val="Normal"/>
    <w:qFormat/>
    <w:rsid w:val="006E397C"/>
    <w:rPr>
      <w:rFonts w:ascii="Tahoma" w:hAnsi="Tahoma"/>
      <w:sz w:val="16"/>
      <w:szCs w:val="16"/>
    </w:rPr>
  </w:style>
  <w:style w:type="paragraph" w:customStyle="1" w:styleId="WW-Legenda">
    <w:name w:val="WW-Legenda"/>
    <w:basedOn w:val="Normal"/>
    <w:next w:val="Normal"/>
    <w:qFormat/>
    <w:rsid w:val="006E397C"/>
    <w:pPr>
      <w:jc w:val="center"/>
    </w:pPr>
    <w:rPr>
      <w:szCs w:val="20"/>
    </w:rPr>
  </w:style>
  <w:style w:type="paragraph" w:customStyle="1" w:styleId="Legenda1">
    <w:name w:val="Legenda1"/>
    <w:basedOn w:val="Normal"/>
    <w:qFormat/>
    <w:rsid w:val="006E397C"/>
    <w:pPr>
      <w:spacing w:before="120" w:after="120"/>
    </w:pPr>
    <w:rPr>
      <w:rFonts w:cs="Tahoma"/>
      <w:i/>
      <w:iCs/>
    </w:rPr>
  </w:style>
  <w:style w:type="paragraph" w:customStyle="1" w:styleId="Ttulo1">
    <w:name w:val="Título1"/>
    <w:basedOn w:val="Normal"/>
    <w:qFormat/>
    <w:rsid w:val="006E397C"/>
    <w:pPr>
      <w:keepNext/>
      <w:spacing w:before="240" w:after="120"/>
    </w:pPr>
    <w:rPr>
      <w:rFonts w:eastAsia="MS Mincho" w:cs="Tahoma"/>
      <w:sz w:val="28"/>
      <w:szCs w:val="28"/>
    </w:rPr>
  </w:style>
  <w:style w:type="table" w:customStyle="1" w:styleId="TableNormal">
    <w:name w:val="TableNormal"/>
    <w:rsid w:val="006E397C"/>
    <w:tblPr>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gri.se.gov.br/transparencia/convenios-e-termos-de-parcerias/" TargetMode="External"/><Relationship Id="rId5" Type="http://schemas.openxmlformats.org/officeDocument/2006/relationships/hyperlink" Target="http://www.planalto.gov.br/ccivil_03/_Ato2015-2018/2015/Lei/L13204.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1632</Words>
  <Characters>8816</Characters>
  <Application>Microsoft Office Word</Application>
  <DocSecurity>0</DocSecurity>
  <Lines>73</Lines>
  <Paragraphs>20</Paragraphs>
  <ScaleCrop>false</ScaleCrop>
  <Company/>
  <LinksUpToDate>false</LinksUpToDate>
  <CharactersWithSpaces>10428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Polyanna Mércia da Silva Quintino</dc:creator>
  <cp:lastModifiedBy>Adauto Figueiredo Lima</cp:lastModifiedBy>
  <cp:revision>2</cp:revision>
  <dcterms:created xsi:type="dcterms:W3CDTF">2025-11-11T12:19:00Z</dcterms:created>
  <dcterms:modified xsi:type="dcterms:W3CDTF">2025-11-11T12:19:00Z</dcterms:modified>
  <dc:language>pt-BR</dc:language>
</cp:coreProperties>
</file>